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46" w:rsidRDefault="00987B46" w:rsidP="00987B46">
      <w:pPr>
        <w:widowControl w:val="0"/>
        <w:tabs>
          <w:tab w:val="left" w:pos="4111"/>
        </w:tabs>
        <w:spacing w:line="192" w:lineRule="auto"/>
        <w:ind w:left="142" w:righ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установлении предельного </w:t>
      </w:r>
      <w:r>
        <w:rPr>
          <w:sz w:val="28"/>
          <w:szCs w:val="28"/>
        </w:rPr>
        <w:t xml:space="preserve">размера платы за проведение </w:t>
      </w:r>
      <w:r>
        <w:rPr>
          <w:bCs/>
          <w:sz w:val="28"/>
          <w:szCs w:val="28"/>
        </w:rPr>
        <w:t>технического осмотра транспортных средств</w:t>
      </w:r>
    </w:p>
    <w:p w:rsidR="00987B46" w:rsidRDefault="00987B46" w:rsidP="00987B46">
      <w:pPr>
        <w:widowControl w:val="0"/>
        <w:autoSpaceDE w:val="0"/>
        <w:autoSpaceDN w:val="0"/>
        <w:adjustRightInd w:val="0"/>
        <w:spacing w:line="192" w:lineRule="auto"/>
        <w:ind w:left="284" w:right="5101"/>
        <w:jc w:val="both"/>
        <w:outlineLvl w:val="0"/>
        <w:rPr>
          <w:bCs/>
          <w:sz w:val="28"/>
          <w:szCs w:val="28"/>
        </w:rPr>
      </w:pPr>
    </w:p>
    <w:p w:rsidR="00987B46" w:rsidRDefault="00987B46" w:rsidP="00987B46">
      <w:pPr>
        <w:widowControl w:val="0"/>
        <w:autoSpaceDE w:val="0"/>
        <w:autoSpaceDN w:val="0"/>
        <w:adjustRightInd w:val="0"/>
        <w:ind w:left="284" w:right="5962"/>
        <w:jc w:val="both"/>
        <w:outlineLvl w:val="0"/>
        <w:rPr>
          <w:bCs/>
          <w:sz w:val="28"/>
          <w:szCs w:val="28"/>
        </w:rPr>
      </w:pPr>
    </w:p>
    <w:p w:rsidR="00987B46" w:rsidRDefault="00987B46" w:rsidP="00987B46">
      <w:pPr>
        <w:widowControl w:val="0"/>
        <w:autoSpaceDE w:val="0"/>
        <w:autoSpaceDN w:val="0"/>
        <w:adjustRightInd w:val="0"/>
        <w:ind w:left="284" w:right="5962"/>
        <w:jc w:val="both"/>
        <w:rPr>
          <w:sz w:val="28"/>
          <w:szCs w:val="28"/>
        </w:rPr>
      </w:pPr>
    </w:p>
    <w:p w:rsidR="00987B46" w:rsidRDefault="00987B46" w:rsidP="00987B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</w:t>
        </w:r>
      </w:hyperlink>
      <w:r>
        <w:rPr>
          <w:sz w:val="28"/>
          <w:szCs w:val="28"/>
        </w:rPr>
        <w:t xml:space="preserve">ом от 01.07.2011 № 170-ФЗ «О техническом осмотре транспортных средств и о внесении изменений в отдельные законодательные акты Российской Федерации», приказом Федеральной антимонопольной службы от 30.06.2022 № 489/22 «Об утверждении Методики расчета предельного размера платы за проведение технического осмотра» </w:t>
      </w:r>
      <w:proofErr w:type="gramEnd"/>
    </w:p>
    <w:p w:rsidR="00987B46" w:rsidRDefault="00987B46" w:rsidP="00987B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Астраханской области ПОСТАНОВЛЯЕТ:</w:t>
      </w:r>
    </w:p>
    <w:p w:rsidR="00987B46" w:rsidRDefault="00987B46" w:rsidP="00987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>Установить предельный размер платы за проведение технического осмотра транспортных средств согласно приложению.</w:t>
      </w:r>
    </w:p>
    <w:p w:rsidR="00987B46" w:rsidRDefault="00987B46" w:rsidP="00987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Постановление вступает в силу с 01.01.2023 и действует по 31.12.2023.</w:t>
      </w:r>
    </w:p>
    <w:p w:rsidR="00987B46" w:rsidRDefault="00987B46" w:rsidP="00987B46">
      <w:pPr>
        <w:widowControl w:val="0"/>
        <w:ind w:firstLine="709"/>
        <w:jc w:val="both"/>
        <w:rPr>
          <w:sz w:val="28"/>
          <w:szCs w:val="28"/>
        </w:rPr>
      </w:pPr>
    </w:p>
    <w:p w:rsidR="00987B46" w:rsidRDefault="00987B46" w:rsidP="00987B46">
      <w:pPr>
        <w:widowControl w:val="0"/>
        <w:ind w:firstLine="709"/>
        <w:jc w:val="both"/>
        <w:rPr>
          <w:sz w:val="28"/>
          <w:szCs w:val="28"/>
        </w:rPr>
      </w:pPr>
    </w:p>
    <w:p w:rsidR="00987B46" w:rsidRDefault="00987B46" w:rsidP="00987B46">
      <w:pPr>
        <w:widowControl w:val="0"/>
        <w:ind w:firstLine="709"/>
        <w:jc w:val="both"/>
        <w:rPr>
          <w:sz w:val="28"/>
          <w:szCs w:val="28"/>
        </w:rPr>
      </w:pPr>
    </w:p>
    <w:p w:rsidR="00987B46" w:rsidRDefault="00987B46" w:rsidP="00987B46">
      <w:pPr>
        <w:rPr>
          <w:sz w:val="28"/>
          <w:szCs w:val="28"/>
        </w:rPr>
      </w:pPr>
      <w:r>
        <w:rPr>
          <w:sz w:val="28"/>
          <w:szCs w:val="28"/>
        </w:rPr>
        <w:t xml:space="preserve">Вице-губернатор – председатель </w:t>
      </w:r>
    </w:p>
    <w:p w:rsidR="00987B46" w:rsidRDefault="00987B46" w:rsidP="00987B46">
      <w:pPr>
        <w:rPr>
          <w:sz w:val="28"/>
          <w:szCs w:val="28"/>
        </w:rPr>
      </w:pPr>
      <w:r>
        <w:rPr>
          <w:sz w:val="28"/>
          <w:szCs w:val="28"/>
        </w:rPr>
        <w:t>Правительства Астраханской области                                              О.А. Князев</w:t>
      </w:r>
    </w:p>
    <w:p w:rsidR="00987B46" w:rsidRDefault="00987B46" w:rsidP="00987B46">
      <w:pPr>
        <w:widowControl w:val="0"/>
        <w:jc w:val="both"/>
        <w:rPr>
          <w:sz w:val="28"/>
          <w:szCs w:val="28"/>
        </w:rPr>
      </w:pPr>
    </w:p>
    <w:p w:rsidR="00987B46" w:rsidRDefault="00987B46" w:rsidP="00987B46">
      <w:pPr>
        <w:rPr>
          <w:sz w:val="28"/>
          <w:szCs w:val="28"/>
        </w:rPr>
        <w:sectPr w:rsidR="00987B46">
          <w:pgSz w:w="11906" w:h="16838"/>
          <w:pgMar w:top="1134" w:right="707" w:bottom="709" w:left="1985" w:header="567" w:footer="720" w:gutter="0"/>
          <w:pgNumType w:start="1"/>
          <w:cols w:space="720"/>
        </w:sectPr>
      </w:pPr>
    </w:p>
    <w:p w:rsidR="00987B46" w:rsidRDefault="00987B46" w:rsidP="00987B46">
      <w:pPr>
        <w:widowControl w:val="0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87B46" w:rsidRDefault="00987B46" w:rsidP="00987B46">
      <w:pPr>
        <w:widowControl w:val="0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87B46" w:rsidRDefault="00987B46" w:rsidP="00987B46">
      <w:pPr>
        <w:widowControl w:val="0"/>
        <w:ind w:right="-158" w:firstLine="5812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</w:p>
    <w:p w:rsidR="00987B46" w:rsidRDefault="00987B46" w:rsidP="00987B46">
      <w:pPr>
        <w:widowControl w:val="0"/>
        <w:ind w:right="-158"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Астраханской области </w:t>
      </w:r>
    </w:p>
    <w:p w:rsidR="00987B46" w:rsidRDefault="00987B46" w:rsidP="00987B46">
      <w:pPr>
        <w:widowControl w:val="0"/>
        <w:ind w:right="-158"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№ </w:t>
      </w:r>
      <w:r>
        <w:rPr>
          <w:color w:val="FFFFFF"/>
          <w:sz w:val="28"/>
          <w:szCs w:val="28"/>
        </w:rPr>
        <w:t>_____</w:t>
      </w:r>
    </w:p>
    <w:p w:rsidR="00987B46" w:rsidRDefault="00987B46" w:rsidP="00987B46">
      <w:pPr>
        <w:widowControl w:val="0"/>
        <w:ind w:right="-158" w:firstLine="6480"/>
        <w:jc w:val="both"/>
        <w:rPr>
          <w:sz w:val="28"/>
          <w:szCs w:val="28"/>
        </w:rPr>
      </w:pPr>
    </w:p>
    <w:p w:rsidR="00987B46" w:rsidRDefault="00987B46" w:rsidP="00987B46">
      <w:pPr>
        <w:widowControl w:val="0"/>
        <w:ind w:right="-158" w:firstLine="6480"/>
        <w:jc w:val="both"/>
        <w:rPr>
          <w:sz w:val="28"/>
          <w:szCs w:val="28"/>
        </w:rPr>
      </w:pPr>
    </w:p>
    <w:p w:rsidR="00987B46" w:rsidRDefault="00987B46" w:rsidP="00987B46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Предельный размер платы за проведение </w:t>
      </w:r>
    </w:p>
    <w:p w:rsidR="00987B46" w:rsidRDefault="00987B46" w:rsidP="00987B46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технического осмотра транспортных средств </w:t>
      </w:r>
    </w:p>
    <w:p w:rsidR="00987B46" w:rsidRDefault="00987B46" w:rsidP="00987B46">
      <w:pPr>
        <w:widowControl w:val="0"/>
        <w:rPr>
          <w:sz w:val="28"/>
          <w:szCs w:val="28"/>
        </w:rPr>
      </w:pPr>
    </w:p>
    <w:tbl>
      <w:tblPr>
        <w:tblW w:w="9085" w:type="dxa"/>
        <w:jc w:val="center"/>
        <w:tblInd w:w="-511" w:type="dxa"/>
        <w:tblLook w:val="04A0" w:firstRow="1" w:lastRow="0" w:firstColumn="1" w:lastColumn="0" w:noHBand="0" w:noVBand="1"/>
      </w:tblPr>
      <w:tblGrid>
        <w:gridCol w:w="717"/>
        <w:gridCol w:w="6804"/>
        <w:gridCol w:w="1564"/>
      </w:tblGrid>
      <w:tr w:rsidR="00987B46" w:rsidTr="00987B46">
        <w:trPr>
          <w:trHeight w:val="125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транспортных средств (или категория транспортного средства, на базе которого изготовлено специальное транспортное средство) &lt;*&gt;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Размер платы, руб.</w:t>
            </w:r>
          </w:p>
        </w:tc>
      </w:tr>
      <w:tr w:rsidR="00987B46" w:rsidTr="00987B46">
        <w:trPr>
          <w:trHeight w:val="38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 – транспортные средства, используемые для перевозки пассажиров и имеющие, помимо места водителя, не более восьми мест для сидения - легковые автомобили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</w:tr>
      <w:tr w:rsidR="00987B46" w:rsidTr="00987B46">
        <w:trPr>
          <w:trHeight w:val="39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M2 –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>
              <w:rPr>
                <w:sz w:val="28"/>
                <w:szCs w:val="28"/>
              </w:rPr>
              <w:t>масса</w:t>
            </w:r>
            <w:proofErr w:type="gramEnd"/>
            <w:r>
              <w:rPr>
                <w:sz w:val="28"/>
                <w:szCs w:val="28"/>
              </w:rPr>
              <w:t xml:space="preserve"> которых не превышает 5 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1 621</w:t>
            </w:r>
          </w:p>
        </w:tc>
      </w:tr>
      <w:tr w:rsidR="00987B46" w:rsidTr="00987B46">
        <w:trPr>
          <w:trHeight w:val="39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М3 –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>
              <w:rPr>
                <w:sz w:val="28"/>
                <w:szCs w:val="28"/>
              </w:rPr>
              <w:t>масса</w:t>
            </w:r>
            <w:proofErr w:type="gramEnd"/>
            <w:r>
              <w:rPr>
                <w:sz w:val="28"/>
                <w:szCs w:val="28"/>
              </w:rPr>
              <w:t xml:space="preserve"> которых превышает 5 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1 978</w:t>
            </w:r>
          </w:p>
        </w:tc>
      </w:tr>
      <w:tr w:rsidR="00987B46" w:rsidTr="00987B46">
        <w:trPr>
          <w:trHeight w:val="39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 – транспортные средства, предназначенные для перевозки грузов, имеющие технически допустимую максимальную массу не более 3,5 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</w:tr>
      <w:tr w:rsidR="00987B46" w:rsidTr="00987B46">
        <w:trPr>
          <w:trHeight w:val="341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 – транспортные средства, предназначенные для перевозки грузов, имеющие технически допустимую максимальную массу свыше 3,5 т, но не более 12 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1 821</w:t>
            </w:r>
          </w:p>
        </w:tc>
      </w:tr>
      <w:tr w:rsidR="00987B46" w:rsidTr="00987B46">
        <w:trPr>
          <w:trHeight w:val="96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 – транспортные средства, предназначенные для перевозки грузов, имеющие технически допустимую максимальную массу более 12 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1 966</w:t>
            </w:r>
          </w:p>
        </w:tc>
      </w:tr>
      <w:tr w:rsidR="00987B46" w:rsidTr="00987B46">
        <w:trPr>
          <w:trHeight w:val="125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 О2 – 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</w:tr>
      <w:tr w:rsidR="00987B46" w:rsidTr="00987B46">
        <w:trPr>
          <w:trHeight w:val="39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О3, О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– прицепы, технически допустимая максимальная масса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1 272</w:t>
            </w:r>
          </w:p>
        </w:tc>
      </w:tr>
      <w:tr w:rsidR="00987B46" w:rsidTr="00987B46">
        <w:trPr>
          <w:trHeight w:val="55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– </w:t>
            </w:r>
            <w:proofErr w:type="spellStart"/>
            <w:r>
              <w:rPr>
                <w:sz w:val="28"/>
                <w:szCs w:val="28"/>
              </w:rPr>
              <w:t>мототранспортные</w:t>
            </w:r>
            <w:proofErr w:type="spellEnd"/>
            <w:r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987B46" w:rsidTr="00987B46">
        <w:trPr>
          <w:trHeight w:val="39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транспортные средства оперативных служб (на базе M1)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</w:t>
            </w:r>
          </w:p>
        </w:tc>
      </w:tr>
      <w:tr w:rsidR="00987B46" w:rsidTr="00987B46">
        <w:trPr>
          <w:trHeight w:val="39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транспортные средства оперативных служб (на базе M2)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1 621</w:t>
            </w:r>
          </w:p>
        </w:tc>
      </w:tr>
      <w:tr w:rsidR="00987B46" w:rsidTr="00987B46">
        <w:trPr>
          <w:trHeight w:val="39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транспортные средства оперативных служб (на базе M3)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1 868</w:t>
            </w:r>
          </w:p>
        </w:tc>
      </w:tr>
      <w:tr w:rsidR="00987B46" w:rsidTr="00987B46">
        <w:trPr>
          <w:trHeight w:val="39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</w:t>
            </w:r>
            <w:proofErr w:type="spellStart"/>
            <w:r>
              <w:rPr>
                <w:sz w:val="28"/>
                <w:szCs w:val="28"/>
              </w:rPr>
              <w:t>автоэвакуаторы</w:t>
            </w:r>
            <w:proofErr w:type="spellEnd"/>
            <w:r>
              <w:rPr>
                <w:sz w:val="28"/>
                <w:szCs w:val="28"/>
              </w:rPr>
              <w:t xml:space="preserve"> (на базе N1)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1 061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Специальные транспортные средства оперативных служб, </w:t>
            </w:r>
            <w:proofErr w:type="spellStart"/>
            <w:r>
              <w:rPr>
                <w:sz w:val="28"/>
                <w:szCs w:val="28"/>
              </w:rPr>
              <w:t>автоэвакуаторы</w:t>
            </w:r>
            <w:proofErr w:type="spellEnd"/>
            <w:r>
              <w:rPr>
                <w:sz w:val="28"/>
                <w:szCs w:val="28"/>
              </w:rP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 (на базе N2)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1 907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Специальные транспортные средства оперативных служб, </w:t>
            </w:r>
            <w:proofErr w:type="spellStart"/>
            <w:r>
              <w:rPr>
                <w:sz w:val="28"/>
                <w:szCs w:val="28"/>
              </w:rPr>
              <w:t>автоэвакуаторы</w:t>
            </w:r>
            <w:proofErr w:type="spellEnd"/>
            <w:r>
              <w:rPr>
                <w:sz w:val="28"/>
                <w:szCs w:val="28"/>
              </w:rP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 (на базе N3)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2 053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 (на базе O1, O2)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Специальные транспортные средства оперативных служб, </w:t>
            </w:r>
            <w:proofErr w:type="spellStart"/>
            <w:r>
              <w:rPr>
                <w:sz w:val="28"/>
                <w:szCs w:val="28"/>
              </w:rPr>
              <w:t>автоэвакуаторы</w:t>
            </w:r>
            <w:proofErr w:type="spellEnd"/>
            <w:r>
              <w:rPr>
                <w:sz w:val="28"/>
                <w:szCs w:val="28"/>
              </w:rP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 (на базе O3, O4)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1 330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транспортные средства оперативных служб (на базе L)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Специализированные транспортные средства, цистерны для перевозки и заправки нефтепродуктов (на базе N1)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1 155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Специализированные транспортные средства, цистерны для перевозки и заправки нефтепродуктов, транспортные средства - фургоны, имеющие места для перевозки людей (на базе N2)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2 081</w:t>
            </w:r>
          </w:p>
        </w:tc>
      </w:tr>
      <w:tr w:rsidR="00987B46" w:rsidTr="00987B46">
        <w:trPr>
          <w:trHeight w:val="28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Специализированные транспортные средства, фургоны, имеющие места для перевозки людей, цистерны для перевозки и заправки нефтепродуктов (на базе N3)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2 255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Специализированные транспортные средства (на базе O1, O2)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Специализированные транспортные средства (на базе O3, O4)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1 474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транспортные средства для коммунального хозяйства и содержания дорог (на базе N1)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1 093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 (на базе N2)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1 994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 (на базе N3)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2 168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 (на базе O1, O2)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 (на базе O3, O4)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1 388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 для перевозки опасных грузов (на базе N1)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1 311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 для перевозки опасных грузов (на базе N2)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2 370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 для перевозки опасных грузов (на базе N3)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2 544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 для перевозки опасных грузов (на базе O1, O2)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</w:tr>
      <w:tr w:rsidR="00987B46" w:rsidTr="00987B46">
        <w:trPr>
          <w:trHeight w:val="5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46" w:rsidRDefault="0098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 для перевозки опасных грузов (на базе O3, O4)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B46" w:rsidRDefault="00987B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1 532</w:t>
            </w:r>
          </w:p>
        </w:tc>
      </w:tr>
    </w:tbl>
    <w:p w:rsidR="00987B46" w:rsidRDefault="00987B46" w:rsidP="00987B46">
      <w:pPr>
        <w:widowControl w:val="0"/>
        <w:rPr>
          <w:szCs w:val="28"/>
        </w:rPr>
      </w:pPr>
    </w:p>
    <w:p w:rsidR="00987B46" w:rsidRDefault="00987B46" w:rsidP="00987B4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&lt;*&gt; Категории транспортных средств соответствуют классификации, установленной в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приложении № 1</w:t>
        </w:r>
      </w:hyperlink>
      <w:r>
        <w:rPr>
          <w:sz w:val="28"/>
          <w:szCs w:val="28"/>
        </w:rPr>
        <w:t xml:space="preserve"> к техническому регламенту Таможенного союза «О безопасности колесных транспортных средств» (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ТС 018/2011).</w:t>
      </w:r>
    </w:p>
    <w:p w:rsidR="00987B46" w:rsidRDefault="00987B46" w:rsidP="00987B46">
      <w:pPr>
        <w:widowControl w:val="0"/>
        <w:jc w:val="both"/>
        <w:rPr>
          <w:szCs w:val="28"/>
        </w:rPr>
      </w:pPr>
    </w:p>
    <w:p w:rsidR="00987B46" w:rsidRDefault="00987B46" w:rsidP="00987B46">
      <w:pPr>
        <w:widowControl w:val="0"/>
        <w:jc w:val="both"/>
        <w:rPr>
          <w:szCs w:val="28"/>
        </w:rPr>
      </w:pPr>
    </w:p>
    <w:p w:rsidR="00987B46" w:rsidRDefault="00987B46" w:rsidP="00987B46">
      <w:pPr>
        <w:widowControl w:val="0"/>
        <w:jc w:val="both"/>
        <w:rPr>
          <w:szCs w:val="28"/>
        </w:rPr>
      </w:pPr>
    </w:p>
    <w:p w:rsidR="00987B46" w:rsidRDefault="00987B46" w:rsidP="00987B4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55FBB" w:rsidRDefault="00E55FBB">
      <w:bookmarkStart w:id="0" w:name="_GoBack"/>
      <w:bookmarkEnd w:id="0"/>
    </w:p>
    <w:sectPr w:rsidR="00E5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46"/>
    <w:rsid w:val="00987B46"/>
    <w:rsid w:val="00AD64F2"/>
    <w:rsid w:val="00E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772E490B4657BA3556C7AE850E21B8D9AAB96B3E2F0909D1C0BD598ECFC93CED52B1415FE0EADRDcCK" TargetMode="External"/><Relationship Id="rId5" Type="http://schemas.openxmlformats.org/officeDocument/2006/relationships/hyperlink" Target="garantF1://1208734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</cp:revision>
  <dcterms:created xsi:type="dcterms:W3CDTF">2022-11-25T11:08:00Z</dcterms:created>
  <dcterms:modified xsi:type="dcterms:W3CDTF">2022-11-25T11:45:00Z</dcterms:modified>
</cp:coreProperties>
</file>